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ab/>
      </w:r>
      <w:proofErr w:type="gramStart"/>
      <w:r w:rsidRPr="00297800">
        <w:rPr>
          <w:rFonts w:ascii="Times New Roman" w:eastAsia="Times New Roman" w:hAnsi="Times New Roman" w:cs="Times New Roman"/>
        </w:rPr>
        <w:t xml:space="preserve">Ed 610.02 </w:t>
      </w:r>
      <w:r w:rsidRPr="00297800">
        <w:rPr>
          <w:rFonts w:ascii="Times New Roman" w:eastAsia="Times New Roman" w:hAnsi="Times New Roman" w:cs="Times New Roman"/>
          <w:u w:val="single"/>
        </w:rPr>
        <w:t>Professional Education Requirements</w:t>
      </w:r>
      <w:r w:rsidRPr="00297800">
        <w:rPr>
          <w:rFonts w:ascii="Times New Roman" w:eastAsia="Times New Roman" w:hAnsi="Times New Roman" w:cs="Times New Roman"/>
        </w:rPr>
        <w:t>.</w:t>
      </w:r>
      <w:proofErr w:type="gramEnd"/>
      <w:r w:rsidRPr="00297800">
        <w:rPr>
          <w:rFonts w:ascii="Times New Roman" w:eastAsia="Times New Roman" w:hAnsi="Times New Roman" w:cs="Times New Roman"/>
        </w:rPr>
        <w:t xml:space="preserve"> To promote the learning of all students, each professional educator preparation program shall require each graduate of the program to demonstrate evidence of the following: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ab/>
        <w:t>(a) In the area of the learner and learning: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(1) Learner development, as demonstrated by: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080" w:right="-24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An understanding of how learners develop, recognizing that patterns of learning and development vary individually within and across the personal, physical, social, and academic dimensions;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The ability to facilitate developmentally appropriate and challenging learning experiences based on the unique needs of each learner;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 xml:space="preserve">(2) Learning differences, as demonstrated by: 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080" w:right="-24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An understanding of individual differences and diverse cultures and communities;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Ensuring inclusive learning environments that allow each learner to reach his or her full potential;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c. The ability to employ universal design principles and assistive technology;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(3) Learning environment, as demonstrated by: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080" w:right="-24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Working with learners to create and access learning environments that support self-directed individual and collaborative learning, based on each learner’s interests and passions;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Use of learning environments not limited to the classroom, but extended into the larger community as well as virtual experiences;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ab/>
        <w:t>(b) In the area of content: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(1) Content knowledge, as demonstrated by: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An understanding of the central concepts, tools of inquiry, and structure of his or her discipline(s);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An ability to create learning experiences that make the discipline(s) accessible and meaningful for learners;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(2) Innovative applications of content, as demonstrated by an understanding of how to connect concepts and use differing perspectives to engage learners in critical and creative thinking and collaborative problem-solving related to authentic local and global issues;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30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ab/>
        <w:t>(c) In the area of learning facilitation practice: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(1) Use of assessment, as demonstrated by an understanding and ability to use multiple methods of assessment to: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Engage learners in their own growth;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Document learner progress;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lastRenderedPageBreak/>
        <w:t>c. Provide learner feedback;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d. Inform the educator’s ongoing planning and instructional practices;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(2) Planning for learning facilitation, as demonstrated by an ability, as an active member of a learning community, to draw upon knowledge of content area standards, cross-disciplinary skills, learners, the community, and pedagogy to plan learning experiences that support every learner in meeting rigorous learning goals;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(3) Learning facilitation strategies, as demonstrated by: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An understanding and use of a variety of strategies and tools to encourage learners to develop deep understanding of content areas and their connections to other disciplines;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An ability to build skills in accessing, applying, and communicating information;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ab/>
        <w:t>(d) In the area of professional responsibility: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(1) Reflection and continuous growth, as demonstrated by: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a. Being a reflective practitioner and using evidence to continually evaluate his or her practice, particularly the effects of choices and actions on students, families, and other professionals in the learning community;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b. Ability to adapt practice to meet the needs of each learner; and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  <w:r w:rsidRPr="00297800">
        <w:rPr>
          <w:rFonts w:ascii="Times New Roman" w:eastAsia="Times New Roman" w:hAnsi="Times New Roman" w:cs="Times New Roman"/>
        </w:rPr>
        <w:t>(2) Collaboration, as demonstrated by: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16"/>
        </w:rPr>
      </w:pP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</w:rPr>
      </w:pPr>
      <w:r w:rsidRPr="00297800">
        <w:rPr>
          <w:rFonts w:ascii="Times New Roman" w:eastAsia="Times New Roman" w:hAnsi="Times New Roman" w:cs="Times New Roman"/>
        </w:rPr>
        <w:t>a. Collaborating, as a member of the larger learning community, with learners, families, colleagues, other professionals, and community members to leverage resources that contribute to student growth and development, learning, and well-being.</w:t>
      </w:r>
    </w:p>
    <w:p w:rsidR="00297800" w:rsidRPr="00297800" w:rsidRDefault="00297800" w:rsidP="00297800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spacing w:after="0" w:line="240" w:lineRule="auto"/>
        <w:ind w:left="1584" w:hanging="1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97800" w:rsidRPr="00297800" w:rsidRDefault="00297800" w:rsidP="0029780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4230"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  <w:hyperlink r:id="rId5" w:history="1">
        <w:proofErr w:type="gramStart"/>
        <w:r w:rsidRPr="00297800">
          <w:rPr>
            <w:rFonts w:ascii="Times New Roman" w:eastAsia="Times New Roman" w:hAnsi="Times New Roman" w:cs="Times New Roman"/>
            <w:color w:val="0000FF"/>
            <w:szCs w:val="20"/>
            <w:u w:val="single"/>
          </w:rPr>
          <w:t>Source.</w:t>
        </w:r>
        <w:proofErr w:type="gramEnd"/>
      </w:hyperlink>
      <w:r w:rsidRPr="00297800">
        <w:rPr>
          <w:rFonts w:ascii="Times New Roman" w:eastAsia="Times New Roman" w:hAnsi="Times New Roman" w:cs="Times New Roman"/>
          <w:szCs w:val="20"/>
        </w:rPr>
        <w:t xml:space="preserve"> (See Revision Note at part heading for Ed 610) #6048,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6-2-95;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by #6366,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10-30-96;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by #7923,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7-24-03;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by #8229,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12-17-04;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by #10046, </w:t>
      </w:r>
      <w:proofErr w:type="spellStart"/>
      <w:r w:rsidRPr="0029780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297800">
        <w:rPr>
          <w:rFonts w:ascii="Times New Roman" w:eastAsia="Times New Roman" w:hAnsi="Times New Roman" w:cs="Times New Roman"/>
          <w:szCs w:val="20"/>
        </w:rPr>
        <w:t xml:space="preserve"> 12-17-11</w:t>
      </w:r>
    </w:p>
    <w:p w:rsidR="00F07CBA" w:rsidRDefault="00297800">
      <w:r>
        <w:t xml:space="preserve"> </w:t>
      </w:r>
    </w:p>
    <w:p w:rsidR="00297800" w:rsidRDefault="00297800">
      <w:hyperlink r:id="rId6" w:history="1">
        <w:r w:rsidRPr="00060A36">
          <w:rPr>
            <w:rStyle w:val="Hyperlink"/>
          </w:rPr>
          <w:t>http://www.gencourt.state.nh.us/rules/state_agencies/ed600.html</w:t>
        </w:r>
      </w:hyperlink>
    </w:p>
    <w:p w:rsidR="00297800" w:rsidRDefault="00297800">
      <w:r>
        <w:t xml:space="preserve">Retrieved </w:t>
      </w:r>
      <w:bookmarkStart w:id="0" w:name="_GoBack"/>
      <w:bookmarkEnd w:id="0"/>
      <w:r>
        <w:t>April 10, 2014</w:t>
      </w:r>
    </w:p>
    <w:sectPr w:rsidR="00297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00"/>
    <w:rsid w:val="00297800"/>
    <w:rsid w:val="00F0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7800"/>
    <w:rPr>
      <w:color w:val="0000FF"/>
      <w:u w:val="single"/>
    </w:rPr>
  </w:style>
  <w:style w:type="paragraph" w:customStyle="1" w:styleId="ConvertStyle84">
    <w:name w:val="ConvertStyle84"/>
    <w:basedOn w:val="Normal"/>
    <w:rsid w:val="00297800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spacing w:after="0" w:line="240" w:lineRule="auto"/>
      <w:ind w:right="-24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7800"/>
    <w:rPr>
      <w:color w:val="0000FF"/>
      <w:u w:val="single"/>
    </w:rPr>
  </w:style>
  <w:style w:type="paragraph" w:customStyle="1" w:styleId="ConvertStyle84">
    <w:name w:val="ConvertStyle84"/>
    <w:basedOn w:val="Normal"/>
    <w:rsid w:val="00297800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spacing w:after="0" w:line="240" w:lineRule="auto"/>
      <w:ind w:right="-24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encourt.state.nh.us/rules/state_agencies/ed600.html" TargetMode="External"/><Relationship Id="rId5" Type="http://schemas.openxmlformats.org/officeDocument/2006/relationships/hyperlink" Target="http://www.gencourt.state.nh.us/rules/filing_history/sourcee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McCaffrey, Marcia</dc:creator>
  <cp:lastModifiedBy>McCaffrey, Marcia</cp:lastModifiedBy>
  <cp:revision>1</cp:revision>
  <dcterms:created xsi:type="dcterms:W3CDTF">2014-04-10T18:18:00Z</dcterms:created>
  <dcterms:modified xsi:type="dcterms:W3CDTF">2014-04-10T18:20:00Z</dcterms:modified>
</cp:coreProperties>
</file>